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bmp" ContentType="image/bmp"/>
  <Default Extension="jpeg" ContentType="image/jpeg"/>
  <Default Extension="png" ContentType="image/png"/>
  <Default Extension="gif" ContentType="image/gif"/>
  <Default Extension="tif" ContentType="image/tif"/>
  <Default Extension="emf" ContentType="image/x-emf"/>
  <Default Extension="wmf" ContentType="image/x-wmf"/>
  <Default Extension="pct" ContentType="image/pct"/>
  <Default Extension="pcx" ContentType="image/pcx"/>
  <Default Extension="tga" ContentType="image/tga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tylesWithEffects.xml" ContentType="application/vnd.ms-word.stylesWithEffects+xml"/>
  <Override PartName="/word/document.xml" ContentType="application/vnd.openxmlformats-officedocument.wordprocessingml.document.main+xml"/>
</Types>
</file>

<file path=_rels/.rels><?xml version="1.0" encoding="UTF-8" standalone="yes" 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Normal"/>
        <w:name w:val="Таблица1"/>
        <w:tabOrder w:val="0"/>
        <w:jc w:val="left"/>
        <w:tblInd w:w="0" w:type="dxa"/>
        <w:tblW w:w="9630" w:type="dxa"/>
        <w:tblLook w:val="0600" w:firstRow="0" w:lastRow="0" w:firstColumn="0" w:lastColumn="0" w:noHBand="1" w:noVBand="1"/>
      </w:tblPr>
      <w:tblGrid>
        <w:gridCol w:w="4712"/>
        <w:gridCol w:w="4918"/>
      </w:tblGrid>
      <w:tr>
        <w:trPr>
          <w:tblHeader w:val="0"/>
          <w:cantSplit w:val="0"/>
          <w:trHeight w:val="1674" w:hRule="atLeast"/>
        </w:trPr>
        <w:tc>
          <w:tcPr>
            <w:tcW w:w="4712" w:type="dxa"/>
            <w:shd w:val="none"/>
            <w:tcMar>
              <w:top w:w="55" w:type="dxa"/>
              <w:left w:w="55" w:type="dxa"/>
              <w:bottom w:w="55" w:type="dxa"/>
              <w:right w:w="55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nil" w:sz="0" w:space="0" w:color="000000" tmln="20, 20, 20, 0, 0"/>
              <w:right w:val="nil" w:sz="0" w:space="0" w:color="000000" tmln="20, 20, 20, 0, 0"/>
              <w:tl2br w:val="nil" w:sz="0" w:space="0" w:color="000000" tmln="20, 20, 20, 0, 0"/>
              <w:tr2bl w:val="nil" w:sz="0" w:space="0" w:color="000000" tmln="20, 20, 20, 0, 0"/>
            </w:tcBorders>
            <w:tmTcPr id="1566244783" protected="1"/>
          </w:tcPr>
          <w:p>
            <w:pPr>
              <w:pStyle w:val="para6"/>
              <w:spacing/>
              <w:jc w:val="both"/>
              <w:rPr>
                <w:b/>
                <w:bCs/>
                <w:lang w:val="uk-ua"/>
              </w:rPr>
            </w:pPr>
            <w:r>
              <w:t>19.08.2019 року</w:t>
            </w:r>
            <w:r>
              <w:rPr>
                <w:b/>
                <w:bCs/>
                <w:lang w:val="uk-ua"/>
              </w:rPr>
            </w:r>
          </w:p>
        </w:tc>
        <w:tc>
          <w:tcPr>
            <w:tcW w:w="4918" w:type="dxa"/>
            <w:shd w:val="none"/>
            <w:tcMar>
              <w:top w:w="55" w:type="dxa"/>
              <w:left w:w="55" w:type="dxa"/>
              <w:bottom w:w="55" w:type="dxa"/>
              <w:right w:w="55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nil" w:sz="0" w:space="0" w:color="000000" tmln="20, 20, 20, 0, 0"/>
              <w:right w:val="nil" w:sz="0" w:space="0" w:color="000000" tmln="20, 20, 20, 0, 0"/>
              <w:tl2br w:val="nil" w:sz="0" w:space="0" w:color="000000" tmln="20, 20, 20, 0, 0"/>
              <w:tr2bl w:val="nil" w:sz="0" w:space="0" w:color="000000" tmln="20, 20, 20, 0, 0"/>
            </w:tcBorders>
            <w:tmTcPr id="1566244783" protected="1"/>
          </w:tcPr>
          <w:p>
            <w:pPr>
              <w:pStyle w:val="para6"/>
              <w:spacing/>
              <w:jc w:val="both"/>
              <w:rPr>
                <w:sz w:val="20"/>
                <w:szCs w:val="20"/>
                <w:lang w:val="uk-ua"/>
              </w:rPr>
            </w:pPr>
            <w:r>
              <w:rPr>
                <w:b/>
                <w:bCs/>
                <w:sz w:val="20"/>
                <w:szCs w:val="20"/>
                <w:lang w:val="uk-ua"/>
              </w:rPr>
              <w:t xml:space="preserve">Виконавцю послуги централізованого опалення </w:t>
            </w:r>
            <w:r>
              <w:rPr>
                <w:sz w:val="20"/>
                <w:szCs w:val="20"/>
                <w:lang w:val="uk-ua"/>
              </w:rPr>
              <w:t xml:space="preserve">- </w:t>
            </w:r>
          </w:p>
          <w:p>
            <w:pPr>
              <w:spacing/>
              <w:jc w:val="center"/>
              <w:tabs defTabSz="708"/>
              <w:rPr>
                <w:rFonts w:cs="Times New Roman"/>
                <w:color w:val="ff0000"/>
                <w:lang w:bidi="ar-sa"/>
              </w:rPr>
            </w:pPr>
            <w:r>
              <w:rPr>
                <w:rFonts w:cs="Times New Roman"/>
                <w:b/>
                <w:bCs/>
                <w:color w:val="ff0000"/>
                <w:lang w:bidi="ar-sa"/>
              </w:rPr>
              <w:t>ТОВ "Ковальська-Житлосервіс",ЄДРПОУ 32912720</w:t>
            </w:r>
            <w:r>
              <w:rPr>
                <w:rFonts w:cs="Times New Roman"/>
                <w:color w:val="ff0000"/>
                <w:lang w:bidi="ar-sa"/>
              </w:rPr>
            </w:r>
          </w:p>
          <w:p>
            <w:pPr>
              <w:pStyle w:val="para6"/>
              <w:spacing/>
              <w:jc w:val="center"/>
              <w:rPr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(найменування виконавця послуги)</w:t>
            </w:r>
            <w:r>
              <w:rPr>
                <w:lang w:val="uk-ua"/>
              </w:rPr>
            </w:r>
          </w:p>
          <w:p>
            <w:pPr>
              <w:pStyle w:val="para6"/>
              <w:spacing/>
              <w:jc w:val="center"/>
              <w:rPr>
                <w:b/>
                <w:bCs/>
                <w:color w:val="ff0000"/>
                <w:sz w:val="16"/>
                <w:szCs w:val="16"/>
                <w:lang w:val="uk-ua"/>
              </w:rPr>
            </w:pPr>
            <w:r>
              <w:rPr>
                <w:b/>
                <w:bCs/>
                <w:color w:val="ff0000"/>
                <w:lang w:val="uk-ua"/>
              </w:rPr>
              <w:t>02072, м. Київ, вул. Єлизавети Чавдар, 3</w:t>
            </w:r>
            <w:r>
              <w:rPr>
                <w:b/>
                <w:bCs/>
                <w:color w:val="ff0000"/>
                <w:sz w:val="16"/>
                <w:szCs w:val="16"/>
                <w:lang w:val="uk-ua"/>
              </w:rPr>
            </w:r>
          </w:p>
          <w:p>
            <w:pPr>
              <w:pStyle w:val="para6"/>
              <w:spacing/>
              <w:jc w:val="center"/>
              <w:rPr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(адреса місцезнаходження постачальника)</w:t>
            </w:r>
            <w:r>
              <w:rPr>
                <w:lang w:val="uk-ua"/>
              </w:rPr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4712" w:type="dxa"/>
            <w:shd w:val="none"/>
            <w:tcMar>
              <w:top w:w="55" w:type="dxa"/>
              <w:left w:w="55" w:type="dxa"/>
              <w:bottom w:w="55" w:type="dxa"/>
              <w:right w:w="55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nil" w:sz="0" w:space="0" w:color="000000" tmln="20, 20, 20, 0, 0"/>
              <w:right w:val="nil" w:sz="0" w:space="0" w:color="000000" tmln="20, 20, 20, 0, 0"/>
              <w:tl2br w:val="nil" w:sz="0" w:space="0" w:color="000000" tmln="20, 20, 20, 0, 0"/>
              <w:tr2bl w:val="nil" w:sz="0" w:space="0" w:color="000000" tmln="20, 20, 20, 0, 0"/>
            </w:tcBorders>
            <w:tmTcPr id="1566244783" protected="1"/>
          </w:tcPr>
          <w:p>
            <w:pPr>
              <w:pStyle w:val="para6"/>
              <w:spacing/>
              <w:jc w:val="both"/>
              <w:rPr>
                <w:lang w:val="uk-ua"/>
              </w:rPr>
            </w:pPr>
            <w:r>
              <w:rPr>
                <w:lang w:val="uk-ua"/>
              </w:rPr>
              <w:t>від побутового споживача комунальної послуги — централізованого опалення</w:t>
            </w:r>
          </w:p>
        </w:tc>
        <w:tc>
          <w:tcPr>
            <w:tcW w:w="4918" w:type="dxa"/>
            <w:shd w:val="none"/>
            <w:tcMar>
              <w:top w:w="55" w:type="dxa"/>
              <w:left w:w="55" w:type="dxa"/>
              <w:bottom w:w="55" w:type="dxa"/>
              <w:right w:w="55" w:type="dxa"/>
            </w:tcMar>
            <w:tcBorders>
              <w:top w:val="nil" w:sz="0" w:space="0" w:color="000000" tmln="20, 20, 20, 0, 0"/>
              <w:left w:val="nil" w:sz="0" w:space="0" w:color="000000" tmln="20, 20, 20, 0, 0"/>
              <w:bottom w:val="nil" w:sz="0" w:space="0" w:color="000000" tmln="20, 20, 20, 0, 0"/>
              <w:right w:val="nil" w:sz="0" w:space="0" w:color="000000" tmln="20, 20, 20, 0, 0"/>
              <w:tl2br w:val="nil" w:sz="0" w:space="0" w:color="000000" tmln="20, 20, 20, 0, 0"/>
              <w:tr2bl w:val="nil" w:sz="0" w:space="0" w:color="000000" tmln="20, 20, 20, 0, 0"/>
            </w:tcBorders>
            <w:tmTcPr id="1566244783" protected="1"/>
          </w:tcPr>
          <w:p>
            <w:pPr>
              <w:pStyle w:val="para6"/>
              <w:spacing/>
              <w:jc w:val="center"/>
              <w:rPr>
                <w:b/>
                <w:bCs/>
                <w:color w:val="ff0000"/>
                <w:lang w:val="uk-ua"/>
              </w:rPr>
            </w:pPr>
            <w:r>
              <w:rPr>
                <w:b/>
                <w:bCs/>
                <w:color w:val="ff0000"/>
                <w:lang w:val="uk-ua"/>
              </w:rPr>
              <w:t>Клієнт</w:t>
            </w:r>
          </w:p>
          <w:p>
            <w:pPr>
              <w:pStyle w:val="para6"/>
              <w:spacing/>
              <w:jc w:val="center"/>
              <w:rPr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(прізвище, ім</w:t>
            </w:r>
            <w:r>
              <w:rPr>
                <w:sz w:val="16"/>
                <w:szCs w:val="16"/>
              </w:rPr>
              <w:t>'</w:t>
            </w:r>
            <w:r>
              <w:rPr>
                <w:sz w:val="16"/>
                <w:szCs w:val="16"/>
                <w:lang w:val="uk-ua"/>
              </w:rPr>
              <w:t>я та по батькові)</w:t>
            </w:r>
            <w:r>
              <w:rPr>
                <w:lang w:val="uk-ua"/>
              </w:rPr>
            </w:r>
          </w:p>
          <w:p>
            <w:pPr>
              <w:pStyle w:val="para6"/>
              <w:spacing/>
              <w:jc w:val="both"/>
              <w:rPr>
                <w:color w:val="ff0000"/>
                <w:lang w:val="uk-ua"/>
              </w:rPr>
            </w:pPr>
            <w:r>
              <w:rPr>
                <w:color w:val="ff0000"/>
                <w:lang w:val="uk-ua"/>
              </w:rPr>
              <w:t>адреса</w:t>
            </w:r>
          </w:p>
          <w:p>
            <w:pPr>
              <w:pStyle w:val="para6"/>
              <w:spacing/>
              <w:jc w:val="center"/>
              <w:rPr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(адреса проживання)</w:t>
            </w:r>
            <w:r>
              <w:rPr>
                <w:lang w:val="uk-ua"/>
              </w:rPr>
            </w:r>
          </w:p>
          <w:p>
            <w:pPr>
              <w:pStyle w:val="para6"/>
              <w:spacing/>
              <w:jc w:val="both"/>
              <w:rPr>
                <w:b/>
                <w:bCs/>
                <w:u w:color="auto" w:val="single"/>
                <w:lang w:val="uk-ua"/>
              </w:rPr>
            </w:pPr>
            <w:r>
              <w:rPr>
                <w:lang w:val="uk-ua"/>
              </w:rPr>
              <w:t xml:space="preserve">                        </w:t>
            </w:r>
            <w:r>
              <w:rPr>
                <w:color w:val="ff0000"/>
                <w:lang w:val="uk-ua"/>
              </w:rPr>
              <w:t xml:space="preserve"> </w:t>
            </w:r>
            <w:r>
              <w:rPr>
                <w:b/>
                <w:bCs/>
                <w:color w:val="ff0000"/>
                <w:u w:color="auto" w:val="single"/>
                <w:lang w:val="uk-ua"/>
              </w:rPr>
              <w:t xml:space="preserve">  067-</w:t>
            </w:r>
            <w:r>
              <w:rPr>
                <w:b/>
                <w:bCs/>
                <w:u w:color="auto" w:val="single"/>
                <w:lang w:val="uk-ua"/>
              </w:rPr>
            </w:r>
          </w:p>
          <w:p>
            <w:pPr>
              <w:pStyle w:val="para6"/>
              <w:spacing/>
              <w:jc w:val="center"/>
            </w:pPr>
            <w:r>
              <w:rPr>
                <w:sz w:val="16"/>
                <w:szCs w:val="16"/>
                <w:lang w:val="uk-ua"/>
              </w:rPr>
              <w:t>(номер телефону)</w:t>
            </w:r>
            <w:r/>
          </w:p>
        </w:tc>
      </w:tr>
    </w:tbl>
    <w:p>
      <w:pPr>
        <w:spacing/>
        <w:jc w:val="both"/>
      </w:pPr>
      <w:r/>
    </w:p>
    <w:p>
      <w:pPr>
        <w:spacing/>
        <w:jc w:val="center"/>
        <w:rPr>
          <w:rFonts w:cs="Times New Roman"/>
          <w:b/>
          <w:bCs/>
          <w:lang w:val="uk-ua"/>
        </w:rPr>
      </w:pPr>
      <w:r>
        <w:rPr>
          <w:rFonts w:cs="Times New Roman"/>
          <w:b/>
          <w:bCs/>
          <w:lang w:val="uk-ua"/>
        </w:rPr>
        <w:t>ЗАЯВА</w:t>
      </w:r>
    </w:p>
    <w:p>
      <w:pPr>
        <w:spacing/>
        <w:jc w:val="center"/>
        <w:rPr>
          <w:rFonts w:cs="Times New Roman"/>
          <w:lang w:val="uk-ua"/>
        </w:rPr>
      </w:pPr>
      <w:r>
        <w:rPr>
          <w:rFonts w:cs="Times New Roman"/>
          <w:b/>
          <w:bCs/>
          <w:lang w:val="uk-ua"/>
        </w:rPr>
        <w:t>про здійснення перерахунку сплачених сум за централізоване опалення</w:t>
      </w:r>
      <w:r>
        <w:rPr>
          <w:rFonts w:cs="Times New Roman"/>
          <w:lang w:val="uk-ua"/>
        </w:rPr>
      </w:r>
    </w:p>
    <w:p>
      <w:pPr>
        <w:spacing/>
        <w:jc w:val="center"/>
        <w:rPr>
          <w:rFonts w:cs="Times New Roman"/>
          <w:lang w:val="uk-ua"/>
        </w:rPr>
      </w:pPr>
      <w:r>
        <w:rPr>
          <w:rFonts w:cs="Times New Roman"/>
          <w:lang w:val="uk-ua"/>
        </w:rPr>
      </w:r>
    </w:p>
    <w:p>
      <w:pPr>
        <w:spacing/>
        <w:jc w:val="both"/>
        <w:rPr>
          <w:rFonts w:cs="Times New Roman"/>
          <w:sz w:val="20"/>
          <w:szCs w:val="20"/>
          <w:lang w:bidi="ar-sa"/>
        </w:rPr>
      </w:pPr>
      <w:r>
        <w:rPr>
          <w:rFonts w:cs="Times New Roman"/>
          <w:lang w:val="uk-ua"/>
        </w:rPr>
        <w:tab/>
        <w:t xml:space="preserve">Я, Циліакус Олександра Євгеніївна, є споживачем комунальної послуги — централізованого опалення квартири, де я мешкаю, яка розташована за адресою: </w:t>
      </w:r>
      <w:r>
        <w:rPr>
          <w:b/>
          <w:bCs/>
          <w:color w:val="ff0000"/>
          <w:lang w:val="uk-ua"/>
        </w:rPr>
        <w:t xml:space="preserve">місто Київ, вул.  , кв. 1. </w:t>
      </w:r>
      <w:r>
        <w:rPr>
          <w:b/>
          <w:bCs/>
          <w:lang w:val="uk-ua"/>
        </w:rPr>
        <w:t xml:space="preserve">Особовий рахунок </w:t>
      </w:r>
      <w:r>
        <w:rPr>
          <w:rFonts w:cs="Times New Roman"/>
          <w:b/>
          <w:bCs/>
          <w:lang w:val="uk-ua"/>
        </w:rPr>
        <w:t xml:space="preserve">споживача </w:t>
      </w:r>
      <w:r>
        <w:rPr>
          <w:rFonts w:cs="Times New Roman"/>
          <w:b/>
          <w:bCs/>
          <w:color w:val="ff0000"/>
          <w:lang w:val="uk-ua"/>
        </w:rPr>
        <w:t>11111...</w:t>
      </w:r>
      <w:r>
        <w:rPr>
          <w:rFonts w:cs="Times New Roman"/>
          <w:sz w:val="20"/>
          <w:szCs w:val="20"/>
          <w:lang w:bidi="ar-sa"/>
        </w:rPr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>Постановою Кабінету Міністрів України №758 від 01.10.2015 року (далі — Постанова КМУ №315) було затверджено Положення (далі — Положення) про покладення спеціальних обов'язків на суб'єктів ринку природного газу для забезпечення загальносуспільних інтересів у процесі функціонування ринку природного газу (відносини у перехідний період).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>Відповідно до пункту 3 Положення, ним встановлені такі обов'язки для:</w:t>
      </w:r>
    </w:p>
    <w:p>
      <w:pPr>
        <w:spacing/>
        <w:jc w:val="both"/>
        <w:rPr>
          <w:rFonts w:cs="Times New Roman"/>
          <w:i/>
          <w:iCs/>
          <w:lang w:val="uk-ua"/>
        </w:rPr>
      </w:pPr>
      <w:r>
        <w:rPr>
          <w:rFonts w:cs="Times New Roman"/>
          <w:lang w:val="uk-ua"/>
        </w:rPr>
        <w:tab/>
        <w:t xml:space="preserve">- </w:t>
      </w:r>
      <w:r>
        <w:rPr>
          <w:rFonts w:cs="Times New Roman"/>
          <w:i/>
          <w:iCs/>
          <w:lang w:val="uk-ua"/>
        </w:rPr>
        <w:t>ПАТ "Укргазвидобування": продавати природний газ НАК "Нафтогаз України" та обов'язок НАК "Нафтогаз України" придбавати такий природний газ для формування ресурсу природного газу для побутових споживачів та виробників теплової енергії в рамках надання послуг з опалення та постачання гарячої води населенню в обсязі, за цінами, на умовах та у порядку, що визначені пунктами 5–8 цього Положення;</w:t>
      </w:r>
      <w:r>
        <w:rPr>
          <w:rFonts w:cs="Times New Roman"/>
          <w:i/>
          <w:iCs/>
          <w:lang w:val="uk-ua"/>
        </w:rPr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i/>
          <w:iCs/>
          <w:lang w:val="uk-ua"/>
        </w:rPr>
        <w:tab/>
        <w:t>- НАК "Нафтогаз України" постачати природний газ виробникам теплової енергії для виробництва теплової енергії за цінами, на умовах та у порядку, що визначені пунктами 15–17 цього Положення</w:t>
      </w:r>
      <w:r>
        <w:rPr>
          <w:rFonts w:cs="Times New Roman"/>
          <w:lang w:val="uk-ua"/>
        </w:rPr>
        <w:t>.</w:t>
      </w:r>
      <w:r>
        <w:rPr>
          <w:rFonts w:cs="Times New Roman"/>
          <w:lang w:val="uk-ua"/>
        </w:rPr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 xml:space="preserve">Абзацом 2 пункту 5 Положення було передбачено, що </w:t>
      </w:r>
      <w:r>
        <w:rPr>
          <w:rFonts w:cs="Times New Roman"/>
          <w:i/>
          <w:iCs/>
          <w:lang w:val="uk-ua"/>
        </w:rPr>
        <w:t>НАК "Нафтогаз України" зобов'язаний придбавати природний газ, видобутий ПАТ "Укргазвидобування", для формування ресурсу природного газу для виробників теплової енергії відповідно до цього Положення за цінами, на умовах та в порядку, що визначаються пунктами 6–8 цього Положення</w:t>
      </w:r>
      <w:r>
        <w:rPr>
          <w:rFonts w:cs="Times New Roman"/>
          <w:lang w:val="uk-ua"/>
        </w:rPr>
        <w:t>.</w:t>
      </w:r>
      <w:r>
        <w:rPr>
          <w:rFonts w:cs="Times New Roman"/>
          <w:lang w:val="uk-ua"/>
        </w:rPr>
      </w:r>
    </w:p>
    <w:p>
      <w:pPr>
        <w:spacing/>
        <w:jc w:val="both"/>
        <w:rPr>
          <w:rFonts w:cs="Times New Roman"/>
          <w:i/>
          <w:iCs/>
          <w:lang w:val="uk-ua"/>
        </w:rPr>
      </w:pPr>
      <w:r>
        <w:rPr>
          <w:rFonts w:cs="Times New Roman"/>
          <w:lang w:val="uk-ua"/>
        </w:rPr>
        <w:tab/>
        <w:t xml:space="preserve">Відповідно до пункту 16 Положення, </w:t>
      </w:r>
      <w:r>
        <w:rPr>
          <w:rFonts w:cs="Times New Roman"/>
          <w:i/>
          <w:iCs/>
          <w:lang w:val="uk-ua"/>
        </w:rPr>
        <w:t xml:space="preserve">НАК "Нафтогаз України" </w:t>
      </w:r>
      <w:r>
        <w:rPr>
          <w:rFonts w:cs="Times New Roman"/>
          <w:i/>
          <w:iCs/>
          <w:u w:color="auto" w:val="single"/>
          <w:lang w:val="uk-ua"/>
        </w:rPr>
        <w:t>постачає природний газ виробникам теплової енергії для виробництва теплової енергії</w:t>
      </w:r>
      <w:r>
        <w:rPr>
          <w:rFonts w:cs="Times New Roman"/>
          <w:i/>
          <w:iCs/>
          <w:lang w:val="uk-ua"/>
        </w:rPr>
        <w:t xml:space="preserve"> за регульованою ціною (без урахування тарифів на послуги з транспортування та розподілу природного газу, а також податків та зборів, що включаються до вартості природного газу, відповідно до Податкового кодексу України), яка в період із 1 жовтня 2015 р. по 31 березня 2016 р. (включно) визначається для:</w:t>
      </w:r>
      <w:r>
        <w:rPr>
          <w:rFonts w:cs="Times New Roman"/>
          <w:i/>
          <w:iCs/>
          <w:lang w:val="uk-ua"/>
        </w:rPr>
      </w:r>
    </w:p>
    <w:p>
      <w:pPr>
        <w:spacing/>
        <w:jc w:val="both"/>
        <w:rPr>
          <w:rFonts w:cs="Times New Roman"/>
          <w:i/>
          <w:iCs/>
          <w:lang w:val="uk-ua"/>
        </w:rPr>
      </w:pPr>
      <w:r>
        <w:rPr>
          <w:rFonts w:cs="Times New Roman"/>
          <w:i/>
          <w:iCs/>
          <w:lang w:val="uk-ua"/>
        </w:rPr>
        <w:tab/>
      </w:r>
      <w:r>
        <w:rPr>
          <w:rFonts w:cs="Times New Roman"/>
          <w:i/>
          <w:iCs/>
          <w:u w:color="auto" w:val="single"/>
          <w:lang w:val="uk-ua"/>
        </w:rPr>
        <w:t>виробників теплової енергії, які безпосередньо приєднані до газотранспортної системи, – в розмірі 1843,28 гривні за 1000 куб. метрів</w:t>
      </w:r>
      <w:r>
        <w:rPr>
          <w:rFonts w:cs="Times New Roman"/>
          <w:i/>
          <w:iCs/>
          <w:lang w:val="uk-ua"/>
        </w:rPr>
        <w:t>;</w:t>
      </w:r>
      <w:r>
        <w:rPr>
          <w:rFonts w:cs="Times New Roman"/>
          <w:i/>
          <w:iCs/>
          <w:lang w:val="uk-ua"/>
        </w:rPr>
      </w:r>
    </w:p>
    <w:p>
      <w:pPr>
        <w:spacing/>
        <w:jc w:val="both"/>
        <w:rPr>
          <w:rFonts w:cs="Times New Roman"/>
          <w:i/>
          <w:iCs/>
          <w:lang w:val="uk-ua"/>
        </w:rPr>
      </w:pPr>
      <w:r>
        <w:rPr>
          <w:rFonts w:cs="Times New Roman"/>
          <w:i/>
          <w:iCs/>
          <w:lang w:val="uk-ua"/>
        </w:rPr>
        <w:tab/>
      </w:r>
      <w:r>
        <w:rPr>
          <w:rFonts w:cs="Times New Roman"/>
          <w:i/>
          <w:iCs/>
          <w:u w:color="auto" w:val="single"/>
          <w:lang w:val="uk-ua"/>
        </w:rPr>
        <w:t>всіх інших виробників теплової енергії – 1770,74 гривні за 1000 куб. метрів</w:t>
      </w:r>
      <w:r>
        <w:rPr>
          <w:rFonts w:cs="Times New Roman"/>
          <w:i/>
          <w:iCs/>
          <w:lang w:val="uk-ua"/>
        </w:rPr>
        <w:t>.</w:t>
      </w:r>
      <w:r>
        <w:rPr>
          <w:rFonts w:cs="Times New Roman"/>
          <w:i/>
          <w:iCs/>
          <w:lang w:val="uk-ua"/>
        </w:rPr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i/>
          <w:iCs/>
          <w:lang w:val="uk-ua"/>
        </w:rPr>
        <w:tab/>
        <w:t>Регульована ціна для виробників теплової енергії в період із 1 квітня 2016 р. по 31 березня 2017 р. (включно) встановлюється окремим рішенням Кабінету Міністрів України</w:t>
      </w:r>
      <w:r>
        <w:rPr>
          <w:rFonts w:cs="Times New Roman"/>
          <w:lang w:val="uk-ua"/>
        </w:rPr>
        <w:t>.</w:t>
      </w:r>
      <w:r>
        <w:rPr>
          <w:rFonts w:cs="Times New Roman"/>
          <w:lang w:val="uk-ua"/>
        </w:rPr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>27.04.2016 року КМУ було прийнято Постанову №315, якою було внесені суттєві та чисельні зміни до Положення, затвердженого Постановою КМУ № 758.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>Так, було змінено, зокрема, вищезгаданий пункт 16 Положення, який було викладено в такій редакції: “</w:t>
      </w:r>
      <w:r>
        <w:rPr>
          <w:rFonts w:cs="Times New Roman"/>
          <w:i/>
          <w:iCs/>
          <w:lang w:val="uk-ua"/>
        </w:rPr>
        <w:t xml:space="preserve">НАК "Нафтогаз України" у період із 1 травня 2016 р. по 31 березня 2017 р. (включно) постачає природний газ виробникам теплової енергії за регульованою ціною (без урахування тарифів на послуги з транспортування та розподілу природного газу, а також податків та зборів, що включаються до вартості природного газу, відповідно до Податкового кодексу України) з метою надання послуг з опалення та постачання гарячої води населенню в розмірі </w:t>
      </w:r>
      <w:r>
        <w:rPr>
          <w:rFonts w:cs="Times New Roman"/>
          <w:b/>
          <w:bCs/>
          <w:i/>
          <w:iCs/>
          <w:u w:color="auto" w:val="single"/>
          <w:lang w:val="uk-ua"/>
        </w:rPr>
        <w:t>4942 гривні за 1000 куб. метрів</w:t>
      </w:r>
      <w:r>
        <w:rPr>
          <w:rFonts w:cs="Times New Roman"/>
          <w:i/>
          <w:iCs/>
          <w:lang w:val="uk-ua"/>
        </w:rPr>
        <w:t>, а для виробництва теплової енергії для релігійних організацій – у розмірі 2471 гривня за 1000 куб. метрів</w:t>
      </w:r>
      <w:r>
        <w:rPr>
          <w:rFonts w:cs="Times New Roman"/>
          <w:lang w:val="uk-ua"/>
        </w:rPr>
        <w:t>”.</w:t>
      </w:r>
      <w:r>
        <w:rPr>
          <w:rFonts w:cs="Times New Roman"/>
          <w:lang w:val="uk-ua"/>
        </w:rPr>
      </w:r>
    </w:p>
    <w:p>
      <w:pPr>
        <w:spacing/>
        <w:jc w:val="both"/>
        <w:rPr>
          <w:rFonts w:cs="Times New Roman"/>
          <w:b/>
          <w:bCs/>
          <w:lang w:val="uk-ua"/>
        </w:rPr>
      </w:pPr>
      <w:r>
        <w:rPr>
          <w:rFonts w:cs="Times New Roman"/>
          <w:lang w:val="uk-ua"/>
        </w:rPr>
        <w:tab/>
      </w:r>
      <w:r>
        <w:rPr>
          <w:rFonts w:cs="Times New Roman"/>
          <w:b/>
          <w:bCs/>
          <w:lang w:val="uk-ua"/>
        </w:rPr>
        <w:t>Таким чином, внаслідок прийняття КМУ Постанови №315 від 27.04.2016 року, ціна газу, який придбавається виробниками теплової енергії у НАК "Нафтогаз України", була збільшена на 3098,72 гривні, тобто в 2,68 рази.</w:t>
      </w:r>
      <w:r>
        <w:rPr>
          <w:rFonts w:cs="Times New Roman"/>
          <w:b/>
          <w:bCs/>
          <w:lang w:val="uk-ua"/>
        </w:rPr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b/>
          <w:bCs/>
          <w:lang w:val="uk-ua"/>
        </w:rPr>
        <w:tab/>
      </w:r>
      <w:r>
        <w:rPr>
          <w:rFonts w:cs="Times New Roman"/>
          <w:color w:val="000000"/>
          <w:lang w:val="uk-ua"/>
        </w:rPr>
        <w:t>Після прийняття Кабінетом Міністрів України Постанови №315 середня ціна Гкал теплової енергії збільшилася з 678,92 грн до 1303,36 грн,  вартість опалення без лічильника – з 17,22 грн за м</w:t>
      </w:r>
      <w:r>
        <w:rPr>
          <w:rFonts w:cs="Times New Roman"/>
          <w:color w:val="000000"/>
          <w:vertAlign w:val="superscript"/>
          <w:lang w:val="uk-ua"/>
        </w:rPr>
        <w:t>2</w:t>
      </w:r>
      <w:r>
        <w:rPr>
          <w:rFonts w:cs="Times New Roman"/>
          <w:color w:val="000000"/>
          <w:lang w:val="uk-ua"/>
        </w:rPr>
        <w:t xml:space="preserve"> до 32,81 за м</w:t>
      </w:r>
      <w:r>
        <w:rPr>
          <w:rFonts w:cs="Times New Roman"/>
          <w:color w:val="000000"/>
          <w:vertAlign w:val="superscript"/>
          <w:lang w:val="uk-ua"/>
        </w:rPr>
        <w:t>2</w:t>
      </w:r>
      <w:r>
        <w:rPr>
          <w:rFonts w:cs="Times New Roman"/>
          <w:color w:val="000000"/>
          <w:lang w:val="uk-ua"/>
        </w:rPr>
        <w:t xml:space="preserve"> (в 1,9 разів). Ці факти знаходять свої підтвердження навіть на сайті НКРЕКП </w:t>
      </w:r>
      <w:r>
        <w:rPr>
          <w:rFonts w:cs="Times New Roman"/>
          <w:color w:val="000000"/>
          <w:sz w:val="16"/>
          <w:szCs w:val="16"/>
          <w:lang w:val="uk-ua"/>
        </w:rPr>
        <w:t>(</w:t>
      </w:r>
      <w:hyperlink r:id="rId7" w:history="1">
        <w:r>
          <w:rPr>
            <w:rStyle w:val="char3"/>
          </w:rPr>
          <w:t>http://www.nerc.gov.ua/data/filearch/teplo/dynamika_taryfy/naselennia/Dynam_taryf_CO_naselennya_lichylnyk_do_p-308_01.05.2017.pdf?fbclid=IwAR1kGWG0XIUDiDit-Ay51EEoL9TpsDBM8oZsU82VM4G1vReHf9P3_e4askI</w:t>
        </w:r>
      </w:hyperlink>
      <w:r>
        <w:rPr>
          <w:rFonts w:cs="Times New Roman"/>
          <w:color w:val="000000"/>
          <w:sz w:val="16"/>
          <w:szCs w:val="16"/>
          <w:lang w:val="uk-ua"/>
        </w:rPr>
        <w:t>)</w:t>
      </w:r>
      <w:r>
        <w:rPr>
          <w:rFonts w:cs="Times New Roman"/>
          <w:color w:val="000000"/>
          <w:lang w:val="uk-ua"/>
        </w:rPr>
        <w:t xml:space="preserve"> та </w:t>
      </w:r>
      <w:hyperlink r:id="rId8" w:history="1">
        <w:r>
          <w:rPr>
            <w:rStyle w:val="char3"/>
          </w:rPr>
          <w:t>http://www.nerc.gov.ua/data/filearch/teplo/dynamika_taryfy/naselennia/Dynam_taryf_CO_naselennya_bezlichylnyk_do_p-308_01.05.2017.pdf?fbclid=IwAR2gjKAbHV0gi2hcSs9vFEr64qiVoGeHqlc1_RDC7QUYAMWViOc_2B7JN6</w:t>
        </w:r>
      </w:hyperlink>
      <w:hyperlink r:id="rId9" w:history="1">
        <w:r>
          <w:rPr>
            <w:rStyle w:val="char3"/>
          </w:rPr>
          <w:t>I</w:t>
        </w:r>
      </w:hyperlink>
      <w:r>
        <w:rPr>
          <w:rFonts w:cs="Times New Roman"/>
          <w:color w:val="000000"/>
          <w:lang w:val="uk-ua"/>
        </w:rPr>
        <w:t xml:space="preserve"> .</w:t>
      </w:r>
      <w:r>
        <w:rPr>
          <w:rFonts w:cs="Times New Roman"/>
          <w:lang w:val="uk-ua"/>
        </w:rPr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 xml:space="preserve">Згідно з п. 21 Постанови КМУ "Про забезпечення єдиного підходу до формування тарифів на комунальні послуги", </w:t>
      </w:r>
      <w:r>
        <w:rPr>
          <w:rFonts w:cs="Times New Roman"/>
          <w:i/>
          <w:iCs/>
          <w:lang w:val="uk-ua"/>
        </w:rPr>
        <w:t>ціна на паливо, в тому числі газ, включається до складу прямих матеріальних витрат, які є складовими планової виробничої собівартості теплової енергії, її транспортування та постачання</w:t>
      </w:r>
      <w:r>
        <w:rPr>
          <w:rFonts w:cs="Times New Roman"/>
          <w:lang w:val="uk-ua"/>
        </w:rPr>
        <w:t>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>Тобто, після набрання чинності Постановою КМУ №315 від 27.04.2016 року собівартість виробництва теплової енергії, а як наслідок, і вартість житлово-комунальної послуги з централізованого опалення збільшилася у зв’язку зі зростанням (у більш ніж 2 рази) ціни на газ.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>Найбільш очевидним свідченням цього є квитанції на оплату послуги за централізованого опалення моєї квартири, починаючи з опалювального сезону 2016 року, сплачені суми у яких є значно більшими, ніж суми, сплачені мною, наприклад, у 2014–2015 роках.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 xml:space="preserve">Рішенням Окружного адміністративного суду міста Києва від 04.03.2019 року по справі № 826/9665/16 за позовами Громадської організації "Тарифна Мобілізація", Тимошенко Юлії Володимирівни до Кабінету Міністрів України, </w:t>
      </w:r>
      <w:r>
        <w:rPr>
          <w:rFonts w:cs="Times New Roman"/>
          <w:b/>
          <w:bCs/>
          <w:lang w:val="uk-ua"/>
        </w:rPr>
        <w:t xml:space="preserve">Постанова КМУ №315 від 27.04.2016 року була визнана протиправною та нечинною </w:t>
      </w:r>
      <w:r>
        <w:rPr>
          <w:rFonts w:cs="Times New Roman"/>
          <w:b/>
          <w:bCs/>
          <w:u w:color="auto" w:val="single"/>
          <w:lang w:val="uk-ua"/>
        </w:rPr>
        <w:t>з моменту її прийняття, тобто з 27.04.2016 року</w:t>
      </w:r>
      <w:r>
        <w:rPr>
          <w:rFonts w:cs="Times New Roman"/>
          <w:lang w:val="uk-ua"/>
        </w:rPr>
        <w:t>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>Звертаю Вашу увагу, що Постанова №315 від 27.04.2016 року була визнана протиправною та нечинною повністю, а не лише в частині, що встановлювала граничну роздрібну ціну на газ. Таким чином, протиправним і нечинним із моменту прийняття є і підпункт 4 пункту 2 Постанови №315 щодо підвищення більше, ніж в два рази ціни на газ, який купується виробниками теплової енергії у НАК "Нафтогаз України".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</w:r>
      <w:r>
        <w:rPr>
          <w:rFonts w:cs="Times New Roman"/>
          <w:b/>
          <w:bCs/>
          <w:u w:color="auto" w:val="single"/>
          <w:lang w:val="uk-ua"/>
        </w:rPr>
        <w:t>Постановою Шостого апеляційного адміністративного суду від 08.07.2019 року по справі № 826/9665/16 Рішення Окружного адміністративного суду м. Києва від 04.03.2019 року було залишено без змін</w:t>
      </w:r>
      <w:r>
        <w:rPr>
          <w:rFonts w:cs="Times New Roman"/>
          <w:lang w:val="uk-ua"/>
        </w:rPr>
        <w:t>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 xml:space="preserve">Відповідно до частини 2 статті 12 Закону України "Про ціни і ціноутворення", </w:t>
      </w:r>
      <w:r>
        <w:rPr>
          <w:rFonts w:cs="Times New Roman"/>
          <w:i/>
          <w:iCs/>
          <w:lang w:val="uk-ua"/>
        </w:rPr>
        <w:t>державні регульовані ціни повинні бути економічно обґрунтованими (забезпечувати відповідність ціни на товар витратам на його виробництво, продаж (реалізацію) та прибуток від його продажу (реалізації)</w:t>
      </w:r>
      <w:r>
        <w:rPr>
          <w:rFonts w:cs="Times New Roman"/>
          <w:lang w:val="uk-ua"/>
        </w:rPr>
        <w:t>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>Рішенням Окружного адміністративного суду міста Києва від 04.03.2019 року, залишеним без змін Постановою Шостого апеляційного адміністративного суду від 08.07.2019 року, Постанова №315 від 27.04.2016 року визнано протиправною, а значить ціни на газ, в тому числі і той, що придбавається для виробництва теплової енергії та її постачання побутовим споживачам комунальних послуг, встановлені цією Постановою, не є економічно обґрунтованими.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 xml:space="preserve">Відповідно до статті 255 Кодексу адміністративного судочинства України (далі — КАС України), </w:t>
      </w:r>
      <w:r>
        <w:rPr>
          <w:rFonts w:cs="Times New Roman"/>
          <w:i/>
          <w:iCs/>
          <w:lang w:val="uk-ua"/>
        </w:rPr>
        <w:t xml:space="preserve">рішення суду набирає законної сили після закінчення строку подання апеляційної скарги всіма учасниками справи, якщо апеляційну скаргу не було подано. </w:t>
      </w:r>
      <w:r>
        <w:rPr>
          <w:rFonts w:cs="Times New Roman"/>
          <w:i/>
          <w:iCs/>
          <w:u w:color="auto" w:val="single"/>
          <w:lang w:val="uk-ua"/>
        </w:rPr>
        <w:t>У разі подання апеляційної скарги рішення, якщо його не скасовано, набирає законної сили після</w:t>
      </w:r>
      <w:r>
        <w:rPr>
          <w:rFonts w:cs="Times New Roman"/>
          <w:i/>
          <w:iCs/>
          <w:lang w:val="uk-ua"/>
        </w:rPr>
        <w:t xml:space="preserve"> </w:t>
      </w:r>
      <w:r>
        <w:rPr>
          <w:rFonts w:cs="Times New Roman"/>
          <w:i/>
          <w:iCs/>
          <w:u w:color="auto" w:val="single"/>
          <w:lang w:val="uk-ua"/>
        </w:rPr>
        <w:t>прийняття постанови судом апеляційної інстанції за наслідками апеляційного перегляду</w:t>
      </w:r>
      <w:r>
        <w:rPr>
          <w:rFonts w:cs="Times New Roman"/>
          <w:lang w:val="uk-ua"/>
        </w:rPr>
        <w:t>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 xml:space="preserve">Згідно з частиною 1 статті 325 КАС України, </w:t>
      </w:r>
      <w:r>
        <w:rPr>
          <w:rFonts w:cs="Times New Roman"/>
          <w:i/>
          <w:iCs/>
          <w:lang w:val="uk-ua"/>
        </w:rPr>
        <w:t>постанова суду апеляційної інстанції набирає законної сили з дати її прийняття</w:t>
      </w:r>
      <w:r>
        <w:rPr>
          <w:rFonts w:cs="Times New Roman"/>
          <w:lang w:val="uk-ua"/>
        </w:rPr>
        <w:t>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</w:r>
      <w:r>
        <w:rPr>
          <w:rFonts w:cs="Times New Roman"/>
          <w:b/>
          <w:bCs/>
          <w:lang w:val="uk-ua"/>
        </w:rPr>
        <w:t xml:space="preserve">Враховуючи згадані норми КАС України, </w:t>
      </w:r>
      <w:r>
        <w:rPr>
          <w:rFonts w:cs="Times New Roman"/>
          <w:b/>
          <w:bCs/>
          <w:u w:color="auto" w:val="single"/>
          <w:lang w:val="uk-ua"/>
        </w:rPr>
        <w:t>Рішення Окружного адміністративного суду м. Києва від 04.03.2019 року по справі №826/9665/16</w:t>
      </w:r>
      <w:r>
        <w:rPr>
          <w:rFonts w:cs="Times New Roman"/>
          <w:b/>
          <w:bCs/>
          <w:lang w:val="uk-ua"/>
        </w:rPr>
        <w:t xml:space="preserve">, яким Постанова КМУ №315 від 27.04.2016 року визнана протиправною та нечинною з моменту її прийняття, </w:t>
      </w:r>
      <w:r>
        <w:rPr>
          <w:rFonts w:cs="Times New Roman"/>
          <w:b/>
          <w:bCs/>
          <w:u w:color="auto" w:val="single"/>
          <w:lang w:val="uk-ua"/>
        </w:rPr>
        <w:t>набрало законної сили 08.07.2019 року</w:t>
      </w:r>
      <w:r>
        <w:rPr>
          <w:rFonts w:cs="Times New Roman"/>
          <w:lang w:val="uk-ua"/>
        </w:rPr>
        <w:t>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>Пунктом 9 частини 2 статті 129 Конституції України визначено, що основними задачами судочинства є, в тому числі, обов'язковість судових рішень. Аналогічні положення містяться в п.5 ч.3 ст.2 КАС України.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>Стаття 129</w:t>
      </w:r>
      <w:r>
        <w:rPr>
          <w:rFonts w:cs="Times New Roman"/>
          <w:vertAlign w:val="superscript"/>
          <w:lang w:val="uk-ua"/>
        </w:rPr>
        <w:t xml:space="preserve">1 </w:t>
      </w:r>
      <w:r>
        <w:rPr>
          <w:rFonts w:cs="Times New Roman"/>
          <w:lang w:val="uk-ua"/>
        </w:rPr>
        <w:t xml:space="preserve">Конституції України передбачає, що </w:t>
      </w:r>
      <w:r>
        <w:rPr>
          <w:rFonts w:cs="Times New Roman"/>
          <w:i/>
          <w:iCs/>
          <w:lang w:val="uk-ua"/>
        </w:rPr>
        <w:t>судове рішення є обов'язковим до виконання</w:t>
      </w:r>
      <w:r>
        <w:rPr>
          <w:rFonts w:cs="Times New Roman"/>
          <w:lang w:val="uk-ua"/>
        </w:rPr>
        <w:t>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 xml:space="preserve">Відповідно до частин 2 та 3 статті 14 КАС України, </w:t>
      </w:r>
      <w:r>
        <w:rPr>
          <w:rFonts w:cs="Times New Roman"/>
          <w:i/>
          <w:iCs/>
          <w:u w:color="auto" w:val="single"/>
          <w:lang w:val="uk-ua"/>
        </w:rPr>
        <w:t>судові рішення, що набрали законної сили, є обов'язковими до виконання всіма органами державної влади, органами місцевого самоврядування, їх посадовими та службовими особами, фізичними і юридичними особами та їх об'єднаннями на всій території України</w:t>
      </w:r>
      <w:r>
        <w:rPr>
          <w:rFonts w:cs="Times New Roman"/>
          <w:i/>
          <w:iCs/>
          <w:lang w:val="uk-ua"/>
        </w:rPr>
        <w:t>. Невиконання судового рішення тягне за собою відповідальність, встановлену законом</w:t>
      </w:r>
      <w:r>
        <w:rPr>
          <w:rFonts w:cs="Times New Roman"/>
          <w:lang w:val="uk-ua"/>
        </w:rPr>
        <w:t>.</w:t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ab/>
        <w:t>Таким чином, рішення Окружного адміністративного суду м. Києва від 04.03.2019 року по справі №826/826/16 є обов'язковим для виконання і виконавцем послуги централізованого опалення (до собівартості якої входить ціна на газ), тому що у вказаний вище період часу постачання мені (виконання для мене) послуги з централізованого опалення здійснювалося за ціною, у складі якої була врахована (закладена) ціна на газ, встановлена протиправною і нечинною Постановою КМУ №315.</w:t>
      </w:r>
    </w:p>
    <w:p>
      <w:pPr>
        <w:spacing/>
        <w:jc w:val="both"/>
        <w:rPr>
          <w:rFonts w:cs="Times New Roman"/>
          <w:color w:val="000000"/>
          <w:lang w:val="uk-ua"/>
        </w:rPr>
      </w:pPr>
      <w:r>
        <w:rPr>
          <w:rFonts w:cs="Times New Roman"/>
          <w:lang w:val="uk-ua"/>
        </w:rPr>
        <w:tab/>
        <w:t xml:space="preserve">В Постанові Великої Палати Верховного Суду від </w:t>
      </w:r>
      <w:r>
        <w:rPr>
          <w:rFonts w:cs="Times New Roman"/>
          <w:color w:val="000000"/>
        </w:rPr>
        <w:t xml:space="preserve">16 січня 2019 року </w:t>
      </w:r>
      <w:r>
        <w:rPr>
          <w:rFonts w:cs="Times New Roman"/>
          <w:color w:val="000000"/>
          <w:lang w:val="uk-ua"/>
        </w:rPr>
        <w:t>у с</w:t>
      </w:r>
      <w:r>
        <w:rPr>
          <w:rFonts w:cs="Times New Roman"/>
          <w:color w:val="000000"/>
        </w:rPr>
        <w:t>прав</w:t>
      </w:r>
      <w:r>
        <w:rPr>
          <w:rFonts w:cs="Times New Roman"/>
          <w:color w:val="000000"/>
          <w:lang w:val="uk-ua"/>
        </w:rPr>
        <w:t>і</w:t>
      </w:r>
      <w:r>
        <w:rPr>
          <w:rFonts w:cs="Times New Roman"/>
          <w:color w:val="000000"/>
        </w:rPr>
        <w:t xml:space="preserve"> №757/31606/15-ц, </w:t>
      </w:r>
      <w:r>
        <w:rPr>
          <w:rFonts w:cs="Times New Roman"/>
          <w:color w:val="000000"/>
          <w:lang w:val="uk-ua"/>
        </w:rPr>
        <w:t>зокрема, судом було зроблено висновок про те, що у разі відміни судом акту, яким встановлені тарифи на житлово-комунальні послуги, за зверненням споживача, їх виконавець (постачальник) повинен здійснити перерахунок.</w:t>
      </w:r>
      <w:r>
        <w:rPr>
          <w:rFonts w:cs="Times New Roman"/>
          <w:color w:val="000000"/>
          <w:lang w:val="uk-ua"/>
        </w:rPr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color w:val="000000"/>
          <w:lang w:val="uk-ua"/>
        </w:rPr>
        <w:tab/>
        <w:t>Враховуючи вищевикладене, керуючись ст.ст.129,129</w:t>
      </w:r>
      <w:r>
        <w:rPr>
          <w:rFonts w:cs="Times New Roman"/>
          <w:color w:val="000000"/>
          <w:vertAlign w:val="superscript"/>
          <w:lang w:val="uk-ua"/>
        </w:rPr>
        <w:t>1</w:t>
      </w:r>
      <w:r>
        <w:rPr>
          <w:rFonts w:cs="Times New Roman"/>
          <w:color w:val="000000"/>
          <w:lang w:val="uk-ua"/>
        </w:rPr>
        <w:t xml:space="preserve"> Конституції України, ст.14, 255, 325 Кодексу Адміністративного судочинства України, враховуючи Рішення Окружного адміністративного суду м. Києва від 04.03.2019 року та Постанову Шостого апеляційного адміністративного суду від 08.07.2019 року по справі №826/9665/16,</w:t>
      </w:r>
      <w:r>
        <w:rPr>
          <w:rFonts w:cs="Times New Roman"/>
          <w:lang w:val="uk-ua"/>
        </w:rPr>
      </w:r>
    </w:p>
    <w:p>
      <w:pPr>
        <w: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</w:r>
    </w:p>
    <w:p>
      <w:pPr>
        <w:spacing/>
        <w:jc w:val="center"/>
        <w:rPr>
          <w:rFonts w:cs="Times New Roman"/>
        </w:rPr>
      </w:pPr>
      <w:r>
        <w:rPr>
          <w:rFonts w:cs="Times New Roman"/>
          <w:b/>
          <w:bCs/>
          <w:color w:val="000000"/>
          <w:lang w:val="uk-ua"/>
        </w:rPr>
        <w:t>ПРОШУ:</w:t>
      </w:r>
      <w:r>
        <w:rPr>
          <w:rFonts w:cs="Times New Roman"/>
        </w:rPr>
      </w:r>
    </w:p>
    <w:p>
      <w:pPr>
        <w:spacing/>
        <w:jc w:val="both"/>
        <w:rPr>
          <w:b/>
          <w:bCs/>
          <w:color w:val="ff0000"/>
          <w:lang w:val="uk-ua"/>
        </w:rPr>
      </w:pPr>
      <w:r>
        <w:rPr>
          <w:rFonts w:cs="Times New Roman"/>
          <w:b/>
          <w:bCs/>
          <w:color w:val="000000"/>
          <w:lang w:val="uk-ua"/>
        </w:rPr>
        <w:tab/>
        <w:t>1. Прийняти і розглянути цей лист у порядку та строки, передбачені законодавством України, письмово повідомити мене про результати розгляду на мою поштову адресу –</w:t>
      </w:r>
      <w:r>
        <w:rPr>
          <w:b/>
          <w:bCs/>
          <w:lang w:val="uk-ua"/>
        </w:rPr>
        <w:t xml:space="preserve"> місто Київ, вул. </w:t>
      </w:r>
      <w:r>
        <w:rPr>
          <w:b/>
          <w:bCs/>
          <w:color w:val="ff0000"/>
          <w:lang w:val="uk-ua"/>
        </w:rPr>
        <w:t>адреса..........</w:t>
      </w:r>
      <w:r>
        <w:rPr>
          <w:b/>
          <w:bCs/>
          <w:color w:val="ff0000"/>
          <w:lang w:val="uk-ua"/>
        </w:rPr>
      </w:r>
    </w:p>
    <w:p>
      <w:pPr>
        <w:spacing/>
        <w:jc w:val="both"/>
        <w:rPr>
          <w:rFonts w:cs="Times New Roman"/>
          <w:b/>
          <w:bCs/>
          <w:color w:val="000000"/>
          <w:lang w:val="uk-ua"/>
        </w:rPr>
      </w:pPr>
      <w:r>
        <w:rPr>
          <w:rFonts w:cs="Times New Roman"/>
          <w:b/>
          <w:bCs/>
          <w:color w:val="000000"/>
          <w:lang w:val="uk-ua"/>
        </w:rPr>
        <w:tab/>
        <w:t>2. Здійснити перерахунок сум, сплачених мною у період з 01.05.2016 року по 01.11.2018 року за житлово-комунальну послугу – централізоване опалення (повернувши мені зайво сплачені мною грошові кошти, або враховувати їх в якості переплати у рахунок майбутніх платежів).</w:t>
      </w:r>
    </w:p>
    <w:p>
      <w:pPr>
        <w:spacing/>
        <w:jc w:val="both"/>
        <w:rPr>
          <w:rFonts w:cs="Times New Roman"/>
          <w:b/>
          <w:bCs/>
          <w:sz w:val="23"/>
          <w:szCs w:val="23"/>
        </w:rPr>
      </w:pPr>
      <w:r>
        <w:rPr>
          <w:rFonts w:cs="Times New Roman"/>
          <w:b/>
          <w:bCs/>
          <w:sz w:val="23"/>
          <w:szCs w:val="23"/>
        </w:rPr>
      </w:r>
    </w:p>
    <w:p>
      <w:pPr>
        <w:spacing/>
        <w:jc w:val="both"/>
        <w:rPr>
          <w:rFonts w:cs="Times New Roman"/>
          <w:b/>
          <w:bCs/>
          <w:sz w:val="23"/>
          <w:szCs w:val="23"/>
        </w:rPr>
      </w:pPr>
      <w:r>
        <w:rPr>
          <w:rFonts w:cs="Times New Roman"/>
          <w:b/>
          <w:bCs/>
          <w:sz w:val="23"/>
          <w:szCs w:val="23"/>
        </w:rPr>
      </w:r>
    </w:p>
    <w:p>
      <w:pPr>
        <w:spacing/>
        <w:jc w:val="both"/>
        <w:rPr>
          <w:rFonts w:cs="Times New Roman"/>
          <w:sz w:val="16"/>
          <w:szCs w:val="16"/>
          <w:lang w:val="uk-ua"/>
        </w:rPr>
      </w:pPr>
      <w:r>
        <w:rPr>
          <w:rFonts w:cs="Times New Roman"/>
          <w:b/>
          <w:bCs/>
          <w:sz w:val="23"/>
          <w:szCs w:val="23"/>
        </w:rPr>
        <w:tab/>
      </w:r>
      <w:r>
        <w:rPr>
          <w:rFonts w:cs="Times New Roman"/>
          <w:sz w:val="16"/>
          <w:szCs w:val="16"/>
          <w:lang w:val="uk-ua"/>
        </w:rPr>
        <w:t>Додатки:</w:t>
      </w:r>
      <w:r>
        <w:rPr>
          <w:rFonts w:cs="Times New Roman"/>
          <w:sz w:val="16"/>
          <w:szCs w:val="16"/>
          <w:lang w:val="uk-ua"/>
        </w:rPr>
      </w:r>
    </w:p>
    <w:p>
      <w:pPr>
        <w:spacing/>
        <w:jc w:val="both"/>
        <w:rPr>
          <w:rFonts w:cs="Times New Roman"/>
          <w:sz w:val="16"/>
          <w:szCs w:val="16"/>
          <w:lang w:val="uk-ua"/>
        </w:rPr>
      </w:pPr>
      <w:r>
        <w:rPr>
          <w:rFonts w:cs="Times New Roman"/>
          <w:sz w:val="16"/>
          <w:szCs w:val="16"/>
          <w:lang w:val="uk-ua"/>
        </w:rPr>
        <w:t xml:space="preserve">1. </w:t>
      </w:r>
      <w:r>
        <w:rPr>
          <w:rFonts w:cs="Times New Roman"/>
          <w:color w:val="ff0000"/>
          <w:sz w:val="16"/>
          <w:szCs w:val="16"/>
          <w:lang w:val="uk-ua"/>
        </w:rPr>
        <w:t>Копія витягу з реєстра прав власності на нерухоме майно</w:t>
      </w:r>
      <w:r>
        <w:rPr>
          <w:rFonts w:cs="Times New Roman"/>
          <w:sz w:val="16"/>
          <w:szCs w:val="16"/>
          <w:lang w:val="uk-ua"/>
        </w:rPr>
        <w:t xml:space="preserve"> (або інший документ на право власності, або квитанції, або договір на постачання тепла, що небуть))</w:t>
      </w:r>
    </w:p>
    <w:sectPr>
      <w:footnotePr>
        <w:pos w:val="pageBottom"/>
        <w:numFmt w:val="decimal"/>
        <w:numStart w:val="1"/>
        <w:numRestart w:val="continuous"/>
      </w:footnotePr>
      <w:endnotePr>
        <w:pos w:val="docEnd"/>
        <w:numFmt w:val="decimal"/>
        <w:numStart w:val="1"/>
        <w:numRestart w:val="continuous"/>
      </w:endnotePr>
      <w:type w:val="nextPage"/>
      <w:pgSz w:h="16838" w:w="11906"/>
      <w:pgMar w:left="1134" w:top="1134" w:right="1134" w:bottom="1134" w:header="0" w:footer="0"/>
      <w:paperSrc w:first="0" w:other="0" a="0" b="0"/>
      <w:pgNumType w:fmt="decimal"/>
      <w:tmGutter w:val="3"/>
      <w:mirrorMargins w:val="0"/>
      <w:tmSection w:h="-2"/>
      <w:guidesAndGridMasterPages Id="0" numberOfVerticalGuides="0" numberOfHorizontalGuides="0"/>
      <w:guidesAndGridMasterPages Id="1" numberOfVerticalGuides="0" numberOfHorizontalGuides="0"/>
      <w:guidesAndGridMasterPages Id="2" numberOfVerticalGuides="0" numberOfHorizontalGuides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</w:font>
  <w:font w:name="SimSun">
    <w:panose1 w:val="02010600030101010101"/>
    <w:charset w:val="00"/>
    <w:family w:val="auto"/>
    <w:pitch w:val="default"/>
  </w:font>
  <w:font w:name="Arial">
    <w:panose1 w:val="020B0604020202020204"/>
    <w:charset w:val="cc"/>
    <w:family w:val="swiss"/>
    <w:pitch w:val="default"/>
  </w:font>
  <w:font w:name="Cambria Math">
    <w:panose1 w:val="02040503050406030204"/>
    <w:charset w:val="cc"/>
    <w:family w:val="roman"/>
    <w:pitch w:val="default"/>
  </w:font>
  <w:font w:name="OpenSymbol">
    <w:panose1 w:val="020B0604020202020204"/>
    <w:charset w:val="00"/>
    <w:family w:val="auto"/>
    <w:pitch w:val="default"/>
  </w:font>
  <w:font w:name="Microsoft YaHei">
    <w:panose1 w:val="020B0503020204020204"/>
    <w:charset w:val="cc"/>
    <w:family w:val="swiss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view w:val="print"/>
  <w:defaultTabStop w:val="709"/>
  <w:autoHyphenation w:val="0"/>
  <w:doNotShadeFormData w:val="0"/>
  <w:captions>
    <w:caption w:name="Таблица" w:pos="below" w:numFmt="decimal"/>
    <w:caption w:name="Рисунок" w:pos="below" w:numFmt="decimal"/>
    <w:caption w:name="Изображение" w:pos="below" w:numFmt="decimal"/>
  </w:captions>
  <w:drawingGridHorizontalSpacing w:val="283"/>
  <w:drawingGridVerticalSpacing w:val="283"/>
  <w:revisionView w:comments="1" w:markup="1" w:insDel="1" w:formatting="1"/>
  <w:footnotePr>
    <w:pos w:val="pageBottom"/>
    <w:numFmt w:val="decimal"/>
    <w:numStart w:val="1"/>
    <w:numRestart w:val="continuous"/>
  </w:footnotePr>
  <w:endnotePr>
    <w:pos w:val="docEnd"/>
    <w:numFmt w:val="decimal"/>
    <w:numStart w:val="1"/>
    <w:numRestart w:val="continuous"/>
  </w:endnotePr>
  <w:compat/>
  <w:shapeDefaults>
    <o:shapedefaults v:ext="edit" spidmax="1026"/>
    <o:shapelayout v:ext="edit">
      <o:rules v:ext="edit"/>
    </o:shapelayout>
  </w:shapeDefaults>
  <w:tmPrefOne w:val="17"/>
  <w:tmPrefTwo w:val="0"/>
  <w:tmFmtPref w:val="189283691"/>
  <w:tmCommentsPr>
    <w:tmCommentsPlace w:val="0"/>
    <w:tmCommentsWidth w:val="3119"/>
    <w:tmCommentsColor w:val="-1"/>
  </w:tmCommentsPr>
  <w:tmReviewPr>
    <w:tmReviewEnabled w:val="0"/>
    <w:tmReviewShow w:val="1"/>
    <w:tmReviewPrint w:val="0"/>
    <w:tmRevisionNum w:val="5"/>
    <w:tmReviewMarkIns w:val="4"/>
    <w:tmReviewColorIns w:val="-1"/>
    <w:tmReviewMarkDel w:val="6"/>
    <w:tmReviewColorDel w:val="-1"/>
    <w:tmReviewMarkFmt w:val="1"/>
    <w:tmReviewColorFmt w:val="-1"/>
    <w:tmReviewMarkLn w:val="1"/>
    <w:tmReviewColorLn w:val="0"/>
    <w:tmReviewToolTip w:val="1"/>
  </w:tmReviewPr>
  <w:tmLastPos>
    <w:tmLastPosPage w:val="2"/>
    <w:tmLastPosSelect w:val="0"/>
    <w:tmLastPosFrameIdx w:val="0"/>
    <w:tmLastPosCaret>
      <w:tmLastPosPgfIdx w:val="43"/>
      <w:tmLastPosIdx w:val="158"/>
    </w:tmLastPosCaret>
    <w:tmLastPosAnchor>
      <w:tmLastPosPgfIdx w:val="0"/>
      <w:tmLastPosIdx w:val="0"/>
    </w:tmLastPosAnchor>
    <w:tmLastPosTblRect w:left="0" w:top="0" w:right="0" w:bottom="0"/>
  </w:tmLastPos>
  <w:tmAppRevision w:date="1566244783" w:val="966" w:fileVer="342" w:fileVerOS="4"/>
  <w:guidesAndGrid showGuides="1" lockGuides="0" snapToGuides="1" snapToPageMargins="0" tolerance="8" gridDistanceHorizontal="283" gridDistanceVertical="283" showGrid="0" snapToGrid="0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hAnsi="Times New Roman" w:eastAsia="Times New Roman" w:cs="Times New Roman"/>
        <w:sz w:val="20"/>
        <w:szCs w:val="20"/>
        <w:lang w:val="ru-ru" w:eastAsia="zh-cn" w:bidi="ar-sa"/>
      </w:rPr>
    </w:rPrDefault>
    <w:pPrDefault>
      <w:pPr>
        <w:suppressAutoHyphens/>
        <w:hyphenationLines w:val="0"/>
        <w:widowControl w:val="0"/>
        <w:pBdr>
          <w:top w:val="nil" w:sz="0" w:space="0" w:color="000000" tmln="20, 20, 20, 0, 0"/>
          <w:left w:val="nil" w:sz="0" w:space="0" w:color="000000" tmln="20, 20, 20, 0, 0"/>
          <w:bottom w:val="nil" w:sz="0" w:space="0" w:color="000000" tmln="20, 20, 20, 0, 0"/>
          <w:right w:val="nil" w:sz="0" w:space="0" w:color="000000" tmln="20, 20, 20, 0, 0"/>
          <w:between w:val="nil" w:sz="0" w:space="0" w:color="000000" tmln="20, 20, 20, 0, 0"/>
        </w:pBdr>
        <w:shd w:val="none"/>
      </w:pPr>
    </w:pPrDefault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rPr>
      <w:rFonts w:eastAsia="SimSun" w:cs="Cambria Math"/>
      <w:kern w:val="1"/>
      <w:sz w:val="24"/>
      <w:szCs w:val="24"/>
      <w:lang w:bidi="hi-in"/>
    </w:rPr>
  </w:style>
  <w:style w:type="paragraph" w:styleId="para1" w:customStyle="1">
    <w:name w:val="Заголовок"/>
    <w:qFormat/>
    <w:basedOn w:val="para0"/>
    <w:next w:val="para2"/>
    <w:pPr>
      <w:spacing w:before="240" w:after="120"/>
      <w:keepNext/>
    </w:pPr>
    <w:rPr>
      <w:rFonts w:ascii="Arial" w:hAnsi="Arial" w:eastAsia="Microsoft YaHei"/>
      <w:sz w:val="28"/>
      <w:szCs w:val="28"/>
    </w:rPr>
  </w:style>
  <w:style w:type="paragraph" w:styleId="para2">
    <w:name w:val="Body Text"/>
    <w:qFormat/>
    <w:basedOn w:val="para0"/>
    <w:pPr>
      <w:spacing w:after="120"/>
    </w:pPr>
  </w:style>
  <w:style w:type="paragraph" w:styleId="para3">
    <w:name w:val="List"/>
    <w:qFormat/>
    <w:basedOn w:val="para2"/>
  </w:style>
  <w:style w:type="paragraph" w:styleId="para4" w:customStyle="1">
    <w:name w:val="Название1"/>
    <w:qFormat/>
    <w:basedOn w:val="para0"/>
    <w:pPr>
      <w:spacing w:before="120" w:after="120"/>
      <w:suppressLineNumbers/>
    </w:pPr>
    <w:rPr>
      <w:i/>
      <w:iCs/>
    </w:rPr>
  </w:style>
  <w:style w:type="paragraph" w:styleId="para5" w:customStyle="1">
    <w:name w:val="Указатель1"/>
    <w:qFormat/>
    <w:basedOn w:val="para0"/>
    <w:pPr>
      <w:suppressLineNumbers/>
    </w:pPr>
  </w:style>
  <w:style w:type="paragraph" w:styleId="para6" w:customStyle="1">
    <w:name w:val="Содержимое таблицы"/>
    <w:qFormat/>
    <w:basedOn w:val="para0"/>
    <w:pPr>
      <w:suppressLineNumbers/>
    </w:pPr>
  </w:style>
  <w:style w:type="paragraph" w:styleId="para7" w:customStyle="1">
    <w:name w:val="Заголовок таблицы"/>
    <w:qFormat/>
    <w:basedOn w:val="para6"/>
    <w:pPr>
      <w:spacing/>
      <w:jc w:val="center"/>
    </w:pPr>
    <w:rPr>
      <w:b/>
      <w:bCs/>
    </w:rPr>
  </w:style>
  <w:style w:type="character" w:styleId="char0" w:default="1">
    <w:name w:val="Default Paragraph Font"/>
  </w:style>
  <w:style w:type="character" w:styleId="char1" w:customStyle="1">
    <w:name w:val="Символ нумерации"/>
  </w:style>
  <w:style w:type="character" w:styleId="char2" w:customStyle="1">
    <w:name w:val="Маркеры списка"/>
    <w:rPr>
      <w:rFonts w:ascii="OpenSymbol" w:hAnsi="OpenSymbol" w:eastAsia="OpenSymbol" w:cs="OpenSymbol"/>
    </w:rPr>
  </w:style>
  <w:style w:type="character" w:styleId="char3">
    <w:name w:val="Hyperlink"/>
    <w:rPr>
      <w:color w:val="00007f"/>
      <w:u w:color="auto" w:val="single"/>
    </w:rPr>
  </w:style>
  <w:style w:type="table" w:default="1" w:styleId="TableNormal">
    <w:name w:val="Обычная таблица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hAnsi="Times New Roman" w:eastAsia="Times New Roman" w:cs="Times New Roman"/>
        <w:sz w:val="20"/>
        <w:szCs w:val="20"/>
        <w:lang w:val="ru-ru" w:eastAsia="zh-cn" w:bidi="ar-sa"/>
      </w:rPr>
    </w:rPrDefault>
    <w:pPrDefault>
      <w:pPr>
        <w:suppressAutoHyphens/>
        <w:hyphenationLines w:val="0"/>
        <w:widowControl w:val="0"/>
        <w:pBdr>
          <w:top w:val="nil" w:sz="0" w:space="0" w:color="000000" tmln="20, 20, 20, 0, 0"/>
          <w:left w:val="nil" w:sz="0" w:space="0" w:color="000000" tmln="20, 20, 20, 0, 0"/>
          <w:bottom w:val="nil" w:sz="0" w:space="0" w:color="000000" tmln="20, 20, 20, 0, 0"/>
          <w:right w:val="nil" w:sz="0" w:space="0" w:color="000000" tmln="20, 20, 20, 0, 0"/>
          <w:between w:val="nil" w:sz="0" w:space="0" w:color="000000" tmln="20, 20, 20, 0, 0"/>
        </w:pBdr>
        <w:shd w:val="none"/>
      </w:pPr>
    </w:pPrDefault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rPr>
      <w:rFonts w:eastAsia="SimSun" w:cs="Cambria Math"/>
      <w:kern w:val="1"/>
      <w:sz w:val="24"/>
      <w:szCs w:val="24"/>
      <w:lang w:bidi="hi-in"/>
    </w:rPr>
  </w:style>
  <w:style w:type="paragraph" w:styleId="para1" w:customStyle="1">
    <w:name w:val="Заголовок"/>
    <w:qFormat/>
    <w:basedOn w:val="para0"/>
    <w:next w:val="para2"/>
    <w:pPr>
      <w:spacing w:before="240" w:after="120"/>
      <w:keepNext/>
    </w:pPr>
    <w:rPr>
      <w:rFonts w:ascii="Arial" w:hAnsi="Arial" w:eastAsia="Microsoft YaHei"/>
      <w:sz w:val="28"/>
      <w:szCs w:val="28"/>
    </w:rPr>
  </w:style>
  <w:style w:type="paragraph" w:styleId="para2">
    <w:name w:val="Body Text"/>
    <w:qFormat/>
    <w:basedOn w:val="para0"/>
    <w:pPr>
      <w:spacing w:after="120"/>
    </w:pPr>
  </w:style>
  <w:style w:type="paragraph" w:styleId="para3">
    <w:name w:val="List"/>
    <w:qFormat/>
    <w:basedOn w:val="para2"/>
  </w:style>
  <w:style w:type="paragraph" w:styleId="para4" w:customStyle="1">
    <w:name w:val="Название1"/>
    <w:qFormat/>
    <w:basedOn w:val="para0"/>
    <w:pPr>
      <w:spacing w:before="120" w:after="120"/>
      <w:suppressLineNumbers/>
    </w:pPr>
    <w:rPr>
      <w:i/>
      <w:iCs/>
    </w:rPr>
  </w:style>
  <w:style w:type="paragraph" w:styleId="para5" w:customStyle="1">
    <w:name w:val="Указатель1"/>
    <w:qFormat/>
    <w:basedOn w:val="para0"/>
    <w:pPr>
      <w:suppressLineNumbers/>
    </w:pPr>
  </w:style>
  <w:style w:type="paragraph" w:styleId="para6" w:customStyle="1">
    <w:name w:val="Содержимое таблицы"/>
    <w:qFormat/>
    <w:basedOn w:val="para0"/>
    <w:pPr>
      <w:suppressLineNumbers/>
    </w:pPr>
  </w:style>
  <w:style w:type="paragraph" w:styleId="para7" w:customStyle="1">
    <w:name w:val="Заголовок таблицы"/>
    <w:qFormat/>
    <w:basedOn w:val="para6"/>
    <w:pPr>
      <w:spacing/>
      <w:jc w:val="center"/>
    </w:pPr>
    <w:rPr>
      <w:b/>
      <w:bCs/>
    </w:rPr>
  </w:style>
  <w:style w:type="character" w:styleId="char0" w:default="1">
    <w:name w:val="Default Paragraph Font"/>
  </w:style>
  <w:style w:type="character" w:styleId="char1" w:customStyle="1">
    <w:name w:val="Символ нумерации"/>
  </w:style>
  <w:style w:type="character" w:styleId="char2" w:customStyle="1">
    <w:name w:val="Маркеры списка"/>
    <w:rPr>
      <w:rFonts w:ascii="OpenSymbol" w:hAnsi="OpenSymbol" w:eastAsia="OpenSymbol" w:cs="OpenSymbol"/>
    </w:rPr>
  </w:style>
  <w:style w:type="character" w:styleId="char3">
    <w:name w:val="Hyperlink"/>
    <w:rPr>
      <w:color w:val="00007f"/>
      <w:u w:color="auto" w:val="single"/>
    </w:rPr>
  </w:style>
  <w:style w:type="table" w:default="1" w:styleId="TableNormal">
    <w:name w:val="Обычная таблица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 ?>
<Relationships xmlns="http://schemas.openxmlformats.org/package/2006/relationships"><Relationship Id="rId1" Type="http://schemas.openxmlformats.org/officeDocument/2006/relationships/webSettings" Target="webSettings.xml"/><Relationship Id="rId2" Type="http://schemas.openxmlformats.org/officeDocument/2006/relationships/settings" Target="settings.xml"/><Relationship Id="rId3" Type="http://schemas.openxmlformats.org/officeDocument/2006/relationships/theme" Target="theme/theme1.xml"/><Relationship Id="rId4" Type="http://schemas.openxmlformats.org/officeDocument/2006/relationships/fontTable" Target="fontTable.xml"/><Relationship Id="rId5" Type="http://schemas.openxmlformats.org/officeDocument/2006/relationships/styles" Target="styles.xml"/><Relationship Id="rId6" Type="http://schemas.microsoft.com/office/2007/relationships/stylesWithEffects" Target="stylesWithEffects.xml"/><Relationship Id="rId7" Type="http://schemas.openxmlformats.org/officeDocument/2006/relationships/hyperlink" Target="http://www.nerc.gov.ua/data/filearch/teplo/dynamika_taryfy/naselennia/Dynam_taryf_CO_naselennya_lichylnyk_do_p-308_01.05.2017.pdf?fbclid=IwAR1kGWG0XIUDiDit-Ay51EEoL9TpsDBM8oZsU82VM4G1vReHf9P3_e4askI" TargetMode="External"/><Relationship Id="rId8" Type="http://schemas.openxmlformats.org/officeDocument/2006/relationships/hyperlink" Target="http://www.nerc.gov.ua/data/filearch/teplo/dynamika_taryfy/naselennia/Dynam_taryf_CO_naselennya_bezlichylnyk_do_p-308_01.05.2017.pdf?fbclid=IwAR2gjKAbHV0gi2hcSs9vFEr64qiVoGeHqlc1_RDC7QUYAMWViOc_2B7JN6" TargetMode="External"/><Relationship Id="rId9" Type="http://schemas.openxmlformats.org/officeDocument/2006/relationships/hyperlink" Target="http://www.nerc.gov.ua/data/filearch/teplo/dynamika_taryfy/naselennia/Dynam_taryf_CO_naselennya_bezlichylnyk_do_p-308_01.05.2017.pdf?fbclid=IwAR2gjKAbHV0gi2hcSs9vFEr64qiVoGeHqlc1_RDC7QUYAMWViOc_2B7JN6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Times New Roman"/>
        <a:ea typeface="SimSun"/>
        <a:cs typeface="Cambria Math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TextMaker free rev.966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Oleksandr Korchenok</cp:lastModifiedBy>
  <cp:revision>5</cp:revision>
  <dcterms:created xsi:type="dcterms:W3CDTF">2019-07-15T11:44:00Z</dcterms:created>
  <dcterms:modified xsi:type="dcterms:W3CDTF">2019-08-19T19:59:43Z</dcterms:modified>
</cp:coreProperties>
</file>